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numPr>
          <w:numId w:val="0"/>
        </w:num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儋州</w:t>
      </w:r>
      <w:r>
        <w:rPr>
          <w:rFonts w:hint="eastAsia"/>
          <w:b/>
          <w:bCs/>
          <w:sz w:val="36"/>
          <w:szCs w:val="36"/>
          <w:lang w:eastAsia="zh-CN"/>
        </w:rPr>
        <w:t>市第</w:t>
      </w:r>
      <w:r>
        <w:rPr>
          <w:rFonts w:hint="eastAsia"/>
          <w:b/>
          <w:bCs/>
          <w:sz w:val="36"/>
          <w:szCs w:val="36"/>
        </w:rPr>
        <w:t>一中</w:t>
      </w:r>
      <w:r>
        <w:rPr>
          <w:rFonts w:hint="eastAsia"/>
          <w:b/>
          <w:bCs/>
          <w:sz w:val="36"/>
          <w:szCs w:val="36"/>
          <w:lang w:eastAsia="zh-CN"/>
        </w:rPr>
        <w:t>学</w:t>
      </w:r>
      <w:r>
        <w:rPr>
          <w:rFonts w:hint="eastAsia"/>
          <w:b/>
          <w:bCs/>
          <w:sz w:val="36"/>
          <w:szCs w:val="36"/>
        </w:rPr>
        <w:t>网络设备升级改造项目</w:t>
      </w:r>
    </w:p>
    <w:p>
      <w:pPr>
        <w:widowControl/>
        <w:numPr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设备需求清单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设备数量及规格需求</w:t>
      </w:r>
    </w:p>
    <w:p>
      <w:pPr>
        <w:widowControl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本项目采购的网络设备和软件数量需求如下：</w:t>
      </w:r>
    </w:p>
    <w:tbl>
      <w:tblPr>
        <w:tblW w:w="7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637"/>
        <w:gridCol w:w="1992"/>
        <w:gridCol w:w="1833"/>
      </w:tblGrid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设备或软件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采购数量</w:t>
            </w:r>
          </w:p>
        </w:tc>
      </w:tr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出口网关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  <w:bookmarkStart w:id="0" w:name="_GoBack"/>
            <w:bookmarkEnd w:id="0"/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核心交换机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汇聚交换机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网络管理软件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技术指标需求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出口网关</w:t>
      </w:r>
    </w:p>
    <w:tbl>
      <w:tblPr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5606"/>
      </w:tblGrid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指标项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指标要求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硬件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★支持固化千兆电口≥8个，固化千兆光口≥1个，固化万兆光口≥1个；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★标准1U机箱，多核非X86架构；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★支持1个硬盘，硬盘容量≥1TB；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支持1个电源，整机功耗低于25W；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支持内存≥2GB；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#支持VPN内流量的可视化监控，提供设备截图，并加盖厂商公章或投标专用章；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#支持内网二层用户隔离，提供截图证明，并加盖厂商公章或投标专用章；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支持静态路由、RIP(V1/V2)、RIPng、OSPFv2等多种路由协议；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设备支持IPv6，支持IPv6容量调整、接口连接状态支持IPv6、DNS配置支持IPv6。设备的静态路由、默认路由、应用路由等支持IPv6；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支持状态检测防火墙，支持TCP/UDP/ICMP/IP分片包等报文过滤；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支持IPSec VPN，并提供600路免费IPSec VPN接入授权；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支持防ARP欺骗、ARP静态绑定和停止学习功能，有效绑定ARP对应关系；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核心交换机</w:t>
      </w:r>
    </w:p>
    <w:tbl>
      <w:tblPr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5606"/>
      </w:tblGrid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指标项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指标要求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硬件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 交换容量≥86.4Tbps。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 包转发率≥ 11610Mpps。</w:t>
            </w:r>
          </w:p>
        </w:tc>
      </w:tr>
      <w:tr>
        <w:trPr>
          <w:trHeight w:val="6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 主控引擎与业务板卡完全物理分离, 采用全分布式转发处理架构，独立主控引擎插槽≥2个，独立业务插槽数≥6个；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符合业界主流机柜的尺寸规范要求，设备高度≤10U，设备深度≤600mm；</w:t>
            </w:r>
          </w:p>
        </w:tc>
      </w:tr>
      <w:tr>
        <w:trPr>
          <w:trHeight w:val="108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#风扇框冗余设计， 且为保证设备散热效果和可靠性，要求设备支持模块化风扇框，可热插拔，当单个风扇框发生故障时，有其他风扇正常运行，保证设备散热，要求独立风扇框个数≥2个；提供官网截图和链接证明，并加盖厂商公章或投标专用章；</w:t>
            </w:r>
          </w:p>
        </w:tc>
      </w:tr>
      <w:tr>
        <w:trPr>
          <w:trHeight w:val="81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#为提高设备面板空间利用率，要求采用高密度端口设计，所投产品单张业务卡最大可用物理端口≥52个，整机转发业务物理端口≥312个；提供官网截图和链接证明，并加盖厂商公章或投标专用章；</w:t>
            </w:r>
          </w:p>
        </w:tc>
      </w:tr>
      <w:tr>
        <w:trPr>
          <w:trHeight w:val="108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光口保护电路设计，用于监测光模块状态，一旦出现故障，可将故障模块隔离，确保不影响其它端口和整机的正常运行，更换模块后该端口也可马上恢复正常工作。提供官网截图和链接证明，并加盖厂商公章或投标专用章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支持N:1虚拟化：将2台物理设备虚拟化为一台逻辑设备，统一运行管理，大幅减少网络节点；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支持VXLAN二层网桥，VXLAN三层网关；</w:t>
            </w:r>
          </w:p>
        </w:tc>
      </w:tr>
      <w:tr>
        <w:trPr>
          <w:trHeight w:val="81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支持静态路由、RIP、RIPng、OSPF、OSPFv3、BGP、BGP4+、ISIS、ISISv6，支持路由协议多实例，支持GR for OSPF/IS-IS/BGP，支持策略路由；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支持IGMPv1/v2/v3、IGMP Snooping 、PIM DM、PIM SM、PIM SSM；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支持IPv6过渡技术，手工隧道、自动隧道、ISATAP隧道、支持GRE隧道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汇聚交换机</w:t>
      </w:r>
    </w:p>
    <w:tbl>
      <w:tblPr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3"/>
        <w:gridCol w:w="5605"/>
      </w:tblGrid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指标项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指标要求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硬件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★</w:t>
            </w:r>
            <w:r>
              <w:rPr>
                <w:rStyle w:val="6"/>
                <w:rFonts w:eastAsia="宋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交换容量</w:t>
            </w:r>
            <w:r>
              <w:rPr>
                <w:rStyle w:val="6"/>
                <w:rFonts w:eastAsia="宋体"/>
                <w:lang w:val="en-US" w:eastAsia="zh-CN"/>
              </w:rPr>
              <w:t>≥1.36Tbps</w:t>
            </w:r>
            <w:r>
              <w:rPr>
                <w:rStyle w:val="5"/>
                <w:lang w:val="en-US" w:eastAsia="zh-CN"/>
              </w:rPr>
              <w:t>；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★</w:t>
            </w:r>
            <w:r>
              <w:rPr>
                <w:rStyle w:val="6"/>
                <w:rFonts w:eastAsia="宋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包转发率</w:t>
            </w:r>
            <w:r>
              <w:rPr>
                <w:rStyle w:val="6"/>
                <w:rFonts w:eastAsia="宋体"/>
                <w:lang w:val="en-US" w:eastAsia="zh-CN"/>
              </w:rPr>
              <w:t>≥462Mpps</w:t>
            </w:r>
            <w:r>
              <w:rPr>
                <w:rStyle w:val="5"/>
                <w:lang w:val="en-US" w:eastAsia="zh-CN"/>
              </w:rPr>
              <w:t>；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★</w:t>
            </w:r>
            <w:r>
              <w:rPr>
                <w:rStyle w:val="6"/>
                <w:rFonts w:eastAsia="宋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固化</w:t>
            </w:r>
            <w:r>
              <w:rPr>
                <w:rStyle w:val="6"/>
                <w:rFonts w:eastAsia="宋体"/>
                <w:lang w:val="en-US" w:eastAsia="zh-CN"/>
              </w:rPr>
              <w:t>1000M SFP</w:t>
            </w:r>
            <w:r>
              <w:rPr>
                <w:rStyle w:val="5"/>
                <w:lang w:val="en-US" w:eastAsia="zh-CN"/>
              </w:rPr>
              <w:t>光口</w:t>
            </w:r>
            <w:r>
              <w:rPr>
                <w:rStyle w:val="6"/>
                <w:rFonts w:eastAsia="宋体"/>
                <w:lang w:val="en-US" w:eastAsia="zh-CN"/>
              </w:rPr>
              <w:t>≥48</w:t>
            </w:r>
            <w:r>
              <w:rPr>
                <w:rStyle w:val="5"/>
                <w:lang w:val="en-US" w:eastAsia="zh-CN"/>
              </w:rPr>
              <w:t>个，</w:t>
            </w:r>
            <w:r>
              <w:rPr>
                <w:rStyle w:val="6"/>
                <w:rFonts w:eastAsia="宋体"/>
                <w:lang w:val="en-US" w:eastAsia="zh-CN"/>
              </w:rPr>
              <w:t>1G/10G SFP+</w:t>
            </w:r>
            <w:r>
              <w:rPr>
                <w:rStyle w:val="5"/>
                <w:lang w:val="en-US" w:eastAsia="zh-CN"/>
              </w:rPr>
              <w:t>光口</w:t>
            </w:r>
            <w:r>
              <w:rPr>
                <w:rStyle w:val="6"/>
                <w:rFonts w:eastAsia="宋体"/>
                <w:lang w:val="en-US" w:eastAsia="zh-CN"/>
              </w:rPr>
              <w:t>≥4</w:t>
            </w:r>
            <w:r>
              <w:rPr>
                <w:rStyle w:val="5"/>
                <w:lang w:val="en-US" w:eastAsia="zh-CN"/>
              </w:rPr>
              <w:t>个；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★</w:t>
            </w:r>
            <w:r>
              <w:rPr>
                <w:rStyle w:val="6"/>
                <w:rFonts w:eastAsia="宋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设备可提供</w:t>
            </w:r>
            <w:r>
              <w:rPr>
                <w:rStyle w:val="6"/>
                <w:rFonts w:eastAsia="宋体"/>
                <w:lang w:val="en-US" w:eastAsia="zh-CN"/>
              </w:rPr>
              <w:t>1</w:t>
            </w:r>
            <w:r>
              <w:rPr>
                <w:rStyle w:val="5"/>
                <w:lang w:val="en-US" w:eastAsia="zh-CN"/>
              </w:rPr>
              <w:t>个业务扩展槽；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#为保证设备在受到外界机械碰撞时能够正常运行，要求所投交换机</w:t>
            </w:r>
            <w:r>
              <w:rPr>
                <w:rStyle w:val="6"/>
                <w:rFonts w:eastAsia="宋体"/>
                <w:lang w:val="en-US" w:eastAsia="zh-CN"/>
              </w:rPr>
              <w:t>IK</w:t>
            </w:r>
            <w:r>
              <w:rPr>
                <w:rStyle w:val="5"/>
                <w:lang w:val="en-US" w:eastAsia="zh-CN"/>
              </w:rPr>
              <w:t>防护测试级别至少达到</w:t>
            </w:r>
            <w:r>
              <w:rPr>
                <w:rStyle w:val="6"/>
                <w:rFonts w:eastAsia="宋体"/>
                <w:lang w:val="en-US" w:eastAsia="zh-CN"/>
              </w:rPr>
              <w:t>IK05</w:t>
            </w:r>
            <w:r>
              <w:rPr>
                <w:rStyle w:val="5"/>
                <w:lang w:val="en-US" w:eastAsia="zh-CN"/>
              </w:rPr>
              <w:t>，提供国家认可的检测机构出具的</w:t>
            </w:r>
            <w:r>
              <w:rPr>
                <w:rStyle w:val="6"/>
                <w:rFonts w:eastAsia="宋体"/>
                <w:lang w:val="en-US" w:eastAsia="zh-CN"/>
              </w:rPr>
              <w:t>IK</w:t>
            </w:r>
            <w:r>
              <w:rPr>
                <w:rStyle w:val="5"/>
                <w:lang w:val="en-US" w:eastAsia="zh-CN"/>
              </w:rPr>
              <w:t>防护等级测试报告，并加盖厂商公章或投标专用章；</w:t>
            </w:r>
          </w:p>
        </w:tc>
      </w:tr>
      <w:tr>
        <w:trPr>
          <w:trHeight w:val="5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#整机采用绿色环保设计，满负荷情况下功耗</w:t>
            </w:r>
            <w:r>
              <w:rPr>
                <w:rStyle w:val="6"/>
                <w:rFonts w:eastAsia="宋体"/>
                <w:lang w:val="en-US" w:eastAsia="zh-CN"/>
              </w:rPr>
              <w:t>&lt;150W</w:t>
            </w:r>
            <w:r>
              <w:rPr>
                <w:rStyle w:val="5"/>
                <w:lang w:val="en-US" w:eastAsia="zh-CN"/>
              </w:rPr>
              <w:t>（带扩展卡），提供官网截图和链接证明，并加盖厂商公章或投标专用章；</w:t>
            </w:r>
          </w:p>
        </w:tc>
      </w:tr>
      <w:tr>
        <w:trPr>
          <w:trHeight w:val="6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支持基于</w:t>
            </w:r>
            <w:r>
              <w:rPr>
                <w:rStyle w:val="6"/>
                <w:rFonts w:eastAsia="宋体"/>
                <w:lang w:val="en-US" w:eastAsia="zh-CN"/>
              </w:rPr>
              <w:t>IPv4/IPv6</w:t>
            </w:r>
            <w:r>
              <w:rPr>
                <w:rStyle w:val="5"/>
                <w:lang w:val="en-US" w:eastAsia="zh-CN"/>
              </w:rPr>
              <w:t>五元组、基于源</w:t>
            </w:r>
            <w:r>
              <w:rPr>
                <w:rStyle w:val="6"/>
                <w:rFonts w:eastAsia="宋体"/>
                <w:lang w:val="en-US" w:eastAsia="zh-CN"/>
              </w:rPr>
              <w:t>/</w:t>
            </w:r>
            <w:r>
              <w:rPr>
                <w:rStyle w:val="5"/>
                <w:lang w:val="en-US" w:eastAsia="zh-CN"/>
              </w:rPr>
              <w:t>目的</w:t>
            </w:r>
            <w:r>
              <w:rPr>
                <w:rStyle w:val="6"/>
                <w:rFonts w:eastAsia="宋体"/>
                <w:lang w:val="en-US" w:eastAsia="zh-CN"/>
              </w:rPr>
              <w:t>MAC</w:t>
            </w:r>
            <w:r>
              <w:rPr>
                <w:rStyle w:val="5"/>
                <w:lang w:val="en-US" w:eastAsia="zh-CN"/>
              </w:rPr>
              <w:t>、基于源</w:t>
            </w:r>
            <w:r>
              <w:rPr>
                <w:rStyle w:val="6"/>
                <w:rFonts w:eastAsia="宋体"/>
                <w:lang w:val="en-US" w:eastAsia="zh-CN"/>
              </w:rPr>
              <w:t>/</w:t>
            </w:r>
            <w:r>
              <w:rPr>
                <w:rStyle w:val="5"/>
                <w:lang w:val="en-US" w:eastAsia="zh-CN"/>
              </w:rPr>
              <w:t>目的端口、基于协议的</w:t>
            </w:r>
            <w:r>
              <w:rPr>
                <w:rStyle w:val="6"/>
                <w:rFonts w:eastAsia="宋体"/>
                <w:lang w:val="en-US" w:eastAsia="zh-CN"/>
              </w:rPr>
              <w:t>ACL</w:t>
            </w:r>
            <w:r>
              <w:rPr>
                <w:rStyle w:val="5"/>
                <w:lang w:val="en-US" w:eastAsia="zh-CN"/>
              </w:rPr>
              <w:t>。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支持特有的CPU保护策略，对发往CPU的数据流，进行流区分和优先级队列分级处理，并根据需要实施带宽限速，充分保护CPU不被非法流量占用、恶意攻击和资源消耗。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#支持硬件层级双</w:t>
            </w:r>
            <w:r>
              <w:rPr>
                <w:rStyle w:val="6"/>
                <w:rFonts w:eastAsia="宋体"/>
                <w:lang w:val="en-US" w:eastAsia="zh-CN"/>
              </w:rPr>
              <w:t>boot</w:t>
            </w:r>
            <w:r>
              <w:rPr>
                <w:rStyle w:val="5"/>
                <w:lang w:val="en-US" w:eastAsia="zh-CN"/>
              </w:rPr>
              <w:t>，采用两个</w:t>
            </w:r>
            <w:r>
              <w:rPr>
                <w:rStyle w:val="6"/>
                <w:rFonts w:eastAsia="宋体"/>
                <w:lang w:val="en-US" w:eastAsia="zh-CN"/>
              </w:rPr>
              <w:t>FLASH</w:t>
            </w:r>
            <w:r>
              <w:rPr>
                <w:rStyle w:val="5"/>
                <w:lang w:val="en-US" w:eastAsia="zh-CN"/>
              </w:rPr>
              <w:t>芯片存储</w:t>
            </w:r>
            <w:r>
              <w:rPr>
                <w:rStyle w:val="6"/>
                <w:rFonts w:eastAsia="宋体"/>
                <w:lang w:val="en-US" w:eastAsia="zh-CN"/>
              </w:rPr>
              <w:t>boot</w:t>
            </w:r>
            <w:r>
              <w:rPr>
                <w:rStyle w:val="5"/>
                <w:lang w:val="en-US" w:eastAsia="zh-CN"/>
              </w:rPr>
              <w:t>软件（系统引导程序），实现硬件级</w:t>
            </w:r>
            <w:r>
              <w:rPr>
                <w:rStyle w:val="6"/>
                <w:rFonts w:eastAsia="宋体"/>
                <w:lang w:val="en-US" w:eastAsia="zh-CN"/>
              </w:rPr>
              <w:t>boot</w:t>
            </w:r>
            <w:r>
              <w:rPr>
                <w:rStyle w:val="5"/>
                <w:lang w:val="en-US" w:eastAsia="zh-CN"/>
              </w:rPr>
              <w:t>冗余备份，避免因</w:t>
            </w:r>
            <w:r>
              <w:rPr>
                <w:rStyle w:val="6"/>
                <w:rFonts w:eastAsia="宋体"/>
                <w:lang w:val="en-US" w:eastAsia="zh-CN"/>
              </w:rPr>
              <w:t>FLASH</w:t>
            </w:r>
            <w:r>
              <w:rPr>
                <w:rStyle w:val="5"/>
                <w:lang w:val="en-US" w:eastAsia="zh-CN"/>
              </w:rPr>
              <w:t>芯片故障导致交换机无法启动，提供官网截图和链接证明，并加盖厂商公章或投标专用章；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支持基础网络保护策略，限制用户向网络中发送</w:t>
            </w:r>
            <w:r>
              <w:rPr>
                <w:rStyle w:val="6"/>
                <w:rFonts w:eastAsia="宋体"/>
                <w:lang w:val="en-US" w:eastAsia="zh-CN"/>
              </w:rPr>
              <w:t>ARP</w:t>
            </w:r>
            <w:r>
              <w:rPr>
                <w:rStyle w:val="5"/>
                <w:lang w:val="en-US" w:eastAsia="zh-CN"/>
              </w:rPr>
              <w:t>报文、</w:t>
            </w:r>
            <w:r>
              <w:rPr>
                <w:rStyle w:val="6"/>
                <w:rFonts w:eastAsia="宋体"/>
                <w:lang w:val="en-US" w:eastAsia="zh-CN"/>
              </w:rPr>
              <w:t>ICMP</w:t>
            </w:r>
            <w:r>
              <w:rPr>
                <w:rStyle w:val="5"/>
                <w:lang w:val="en-US" w:eastAsia="zh-CN"/>
              </w:rPr>
              <w:t>请求报文、</w:t>
            </w:r>
            <w:r>
              <w:rPr>
                <w:rStyle w:val="6"/>
                <w:rFonts w:eastAsia="宋体"/>
                <w:lang w:val="en-US" w:eastAsia="zh-CN"/>
              </w:rPr>
              <w:t>DHCP</w:t>
            </w:r>
            <w:r>
              <w:rPr>
                <w:rStyle w:val="5"/>
                <w:lang w:val="en-US" w:eastAsia="zh-CN"/>
              </w:rPr>
              <w:t>请求报文的数率，对超过限速阈值的报文进行丢弃处理，能够识别攻击行为，对有攻击行为的用户进行隔离；</w:t>
            </w:r>
          </w:p>
        </w:tc>
      </w:tr>
    </w:tbl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网络管理软件</w:t>
      </w:r>
    </w:p>
    <w:tbl>
      <w:tblPr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5606"/>
      </w:tblGrid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指标项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指标要求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架构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★要求投标产品采用纯B/S架构，用户无需安装客户端，通过标准浏览器就能完成对系统的访问；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授权管理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★支持文件授权方式；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设备管理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图形化显示设备的真实物理面板及线卡、端口信息，且支持在面板页面直接对设备进行操作；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可以对多台设备进行批量的设备软件升级；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支持对设备的机构名称、购买时间、质保期等资产信息进行编辑管理；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拓扑管理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自动发现网络中的二、三层网络设备，可以自动构成网络拓扑图；</w:t>
            </w:r>
          </w:p>
        </w:tc>
      </w:tr>
      <w:tr>
        <w:trPr>
          <w:trHeight w:val="81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#支持多虚一拓扑，将设备的多虚一状态实时呈现在拓扑图中，并可直接在拓扑图上呈现多个设备成员的链路连线和状态。提供软件界面的功能截图，并加盖厂商公章或投标专用章；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支持路由拓扑自动发现，显示系统网络层设备之间的路由关系；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支持广域网链路的拓扑发现，且支持在拓扑图中添加“建筑物”、“云”等虚拟节点；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#支持通过上传图片实现节点图标自定义。提供软件界面的功能截图，并加盖厂商公章或投标专用章；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#支持WeatherMap模式的流量模式拓扑图。提供软件界面的功能截图，并加盖厂商公章或投标专用章；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singleLevel"/>
    <w:tmpl w:val="0000000A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000000B"/>
    <w:multiLevelType w:val="singleLevel"/>
    <w:tmpl w:val="0000000B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1"/>
  </w:num>
  <w:num w:numId="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</w:style>
  <w:style w:type="paragraph" w:customStyle="1" w:styleId="4">
    <w:name w:val="List Paragraph"/>
    <w:basedOn w:val="1"/>
    <w:pPr>
      <w:ind w:firstLine="420" w:firstLineChars="200"/>
    </w:pPr>
    <w:rPr>
      <w:rFonts w:ascii="Calibri" w:hAnsi="Calibri" w:eastAsia="宋体" w:cs="黑体"/>
    </w:rPr>
  </w:style>
  <w:style w:type="character" w:customStyle="1" w:styleId="5">
    <w:name w:val="font11"/>
    <w:basedOn w:val="3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2024-03-01T21:34:00Z</dcterms:created>
  <dc:creator>乐天</dc:creator>
  <cp:lastPrinted>2024-04-15T10:22:28Z</cp:lastPrinted>
  <dcterms:modified xsi:type="dcterms:W3CDTF">2024-04-15T10:23:25Z</dcterms:modified>
  <dc:title>乐天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68CECF1AC89E4BBAB9D69839DA4D13CB_11</vt:lpwstr>
  </property>
</Properties>
</file>